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2F5D62" w:sz="12" w:space="4"/>
        </w:pBdr>
        <w:spacing w:after="40" w:before="0"/>
      </w:pPr>
      <w:r>
        <w:rPr>
          <w:rFonts w:ascii="Calibri" w:cs="Calibri" w:eastAsia="Calibri" w:hAnsi="Calibri"/>
          <w:b/>
          <w:bCs/>
          <w:color w:val="2F5D62"/>
          <w:sz w:val="30"/>
          <w:szCs w:val="30"/>
        </w:rPr>
        <w:t xml:space="preserve">AI Disclosure Declaration — Decision-Dialogue Loop</w:t>
      </w:r>
    </w:p>
    <w:p>
      <w:pPr>
        <w:spacing w:after="100" w:before="0"/>
        <w:jc w:val="right"/>
      </w:pPr>
      <w:r>
        <w:rPr>
          <w:rFonts w:ascii="Calibri" w:cs="Calibri" w:eastAsia="Calibri" w:hAnsi="Calibri"/>
          <w:i/>
          <w:iCs/>
          <w:color w:val="555555"/>
          <w:sz w:val="15"/>
          <w:szCs w:val="15"/>
        </w:rPr>
        <w:t xml:space="preserve">SAMPLE — filled-in example</w:t>
      </w:r>
    </w:p>
    <w:p>
      <w:pPr>
        <w:spacing w:after="40" w:before="100"/>
      </w:pPr>
      <w:r>
        <w:rPr>
          <w:rFonts w:ascii="Calibri" w:cs="Calibri" w:eastAsia="Calibri" w:hAnsi="Calibri"/>
          <w:b/>
          <w:bCs/>
          <w:color w:val="2F5D62"/>
          <w:sz w:val="20"/>
          <w:szCs w:val="20"/>
        </w:rPr>
        <w:t xml:space="preserve">1  Student &amp; Submission Details</w:t>
      </w:r>
    </w:p>
    <w:tbl>
      <w:tblPr>
        <w:tblW w:type="dxa" w:w="10800"/>
        <w:tblBorders>
          <w:top w:val="none"/>
          <w:left w:val="none"/>
          <w:bottom w:val="none"/>
          <w:right w:val="none"/>
          <w:insideH w:val="none"/>
          <w:insideV w:val="none"/>
        </w:tblBorders>
      </w:tblPr>
      <w:tblGrid>
        <w:gridCol w:w="1900"/>
        <w:gridCol w:w="3500"/>
        <w:gridCol w:w="1900"/>
        <w:gridCol w:w="3500"/>
      </w:tblGrid>
      <w:tr>
        <w:tc>
          <w:tcPr>
            <w:tcW w:type="dxa" w:w="19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Name:</w:t>
            </w:r>
            <w:r>
              <w:rPr>
                <w:rFonts w:ascii="Calibri" w:cs="Calibri" w:eastAsia="Calibri" w:hAnsi="Calibri"/>
                <w:color w:val="1A3A3D"/>
                <w:sz w:val="17"/>
                <w:szCs w:val="17"/>
              </w:rPr>
              <w:t xml:space="preserve">  Müller, Jonas</w:t>
            </w:r>
          </w:p>
        </w:tc>
        <w:tc>
          <w:tcPr>
            <w:tcW w:type="dxa" w:w="35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Student ID:</w:t>
            </w:r>
            <w:r>
              <w:rPr>
                <w:rFonts w:ascii="Calibri" w:cs="Calibri" w:eastAsia="Calibri" w:hAnsi="Calibri"/>
                <w:color w:val="1A3A3D"/>
                <w:sz w:val="17"/>
                <w:szCs w:val="17"/>
              </w:rPr>
              <w:t xml:space="preserve">  7823041</w:t>
            </w:r>
          </w:p>
        </w:tc>
        <w:tc>
          <w:tcPr>
            <w:tcW w:type="dxa" w:w="19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
            </w:r>
            <w:r>
              <w:rPr>
                <w:rFonts w:ascii="Calibri" w:cs="Calibri" w:eastAsia="Calibri" w:hAnsi="Calibri"/>
                <w:color w:val="1A3A3D"/>
                <w:sz w:val="17"/>
                <w:szCs w:val="17"/>
              </w:rPr>
              <w:t xml:space="preserve">  </w:t>
            </w:r>
          </w:p>
        </w:tc>
        <w:tc>
          <w:tcPr>
            <w:tcW w:type="dxa" w:w="35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
            </w:r>
            <w:r>
              <w:rPr>
                <w:rFonts w:ascii="Calibri" w:cs="Calibri" w:eastAsia="Calibri" w:hAnsi="Calibri"/>
                <w:color w:val="1A3A3D"/>
                <w:sz w:val="17"/>
                <w:szCs w:val="17"/>
              </w:rPr>
              <w:t xml:space="preserve">  </w:t>
            </w:r>
          </w:p>
        </w:tc>
      </w:tr>
      <w:tr>
        <w:tc>
          <w:tcPr>
            <w:tcW w:type="dxa" w:w="19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Programme/Year:</w:t>
            </w:r>
            <w:r>
              <w:rPr>
                <w:rFonts w:ascii="Calibri" w:cs="Calibri" w:eastAsia="Calibri" w:hAnsi="Calibri"/>
                <w:color w:val="1A3A3D"/>
                <w:sz w:val="17"/>
                <w:szCs w:val="17"/>
              </w:rPr>
              <w:t xml:space="preserve">  B.Sc. Computer Science / Y3</w:t>
            </w:r>
          </w:p>
        </w:tc>
        <w:tc>
          <w:tcPr>
            <w:tcW w:type="dxa" w:w="35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Submission type:</w:t>
            </w:r>
            <w:r>
              <w:rPr>
                <w:rFonts w:ascii="Calibri" w:cs="Calibri" w:eastAsia="Calibri" w:hAnsi="Calibri"/>
                <w:color w:val="1A3A3D"/>
                <w:sz w:val="17"/>
                <w:szCs w:val="17"/>
              </w:rPr>
              <w:t xml:space="preserve">  Bachelor Thesis</w:t>
            </w:r>
          </w:p>
        </w:tc>
        <w:tc>
          <w:tcPr>
            <w:tcW w:type="dxa" w:w="19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
            </w:r>
            <w:r>
              <w:rPr>
                <w:rFonts w:ascii="Calibri" w:cs="Calibri" w:eastAsia="Calibri" w:hAnsi="Calibri"/>
                <w:color w:val="1A3A3D"/>
                <w:sz w:val="17"/>
                <w:szCs w:val="17"/>
              </w:rPr>
              <w:t xml:space="preserve">  </w:t>
            </w:r>
          </w:p>
        </w:tc>
        <w:tc>
          <w:tcPr>
            <w:tcW w:type="dxa" w:w="35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
            </w:r>
            <w:r>
              <w:rPr>
                <w:rFonts w:ascii="Calibri" w:cs="Calibri" w:eastAsia="Calibri" w:hAnsi="Calibri"/>
                <w:color w:val="1A3A3D"/>
                <w:sz w:val="17"/>
                <w:szCs w:val="17"/>
              </w:rPr>
              <w:t xml:space="preserve">  </w:t>
            </w:r>
          </w:p>
        </w:tc>
      </w:tr>
      <w:tr>
        <w:tc>
          <w:tcPr>
            <w:tcW w:type="dxa" w:w="1900"/>
            <w:tcMar>
              <w:top w:type="dxa" w:w="30"/>
              <w:left w:type="dxa" w:w="50"/>
              <w:bottom w:type="dxa" w:w="30"/>
              <w:right w:type="dxa" w:w="50"/>
            </w:tcMar>
          </w:tcPr>
          <w:p>
            <w:r>
              <w:rPr>
                <w:rFonts w:ascii="Calibri" w:cs="Calibri" w:eastAsia="Calibri" w:hAnsi="Calibri"/>
                <w:b/>
                <w:bCs/>
                <w:sz w:val="17"/>
                <w:szCs w:val="17"/>
              </w:rPr>
              <w:t xml:space="preserve">Title:</w:t>
            </w:r>
          </w:p>
        </w:tc>
        <w:tc>
          <w:tcPr>
            <w:tcW w:type="dxa" w:w="8900"/>
            <w:gridSpan w:val="3"/>
            <w:tcMar>
              <w:top w:type="dxa" w:w="30"/>
              <w:left w:type="dxa" w:w="50"/>
              <w:bottom w:type="dxa" w:w="30"/>
              <w:right w:type="dxa" w:w="50"/>
            </w:tcMar>
          </w:tcPr>
          <w:p>
            <w:r>
              <w:rPr>
                <w:rFonts w:ascii="Calibri" w:cs="Calibri" w:eastAsia="Calibri" w:hAnsi="Calibri"/>
                <w:color w:val="1A3A3D"/>
                <w:sz w:val="17"/>
                <w:szCs w:val="17"/>
              </w:rPr>
              <w:t xml:space="preserve">Energy optimisation in IoT sensor networks using adaptive duty cycling</w:t>
            </w:r>
          </w:p>
        </w:tc>
      </w:tr>
      <w:tr>
        <w:tc>
          <w:tcPr>
            <w:tcW w:type="dxa" w:w="19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Date:</w:t>
            </w:r>
            <w:r>
              <w:rPr>
                <w:rFonts w:ascii="Calibri" w:cs="Calibri" w:eastAsia="Calibri" w:hAnsi="Calibri"/>
                <w:color w:val="1A3A3D"/>
                <w:sz w:val="17"/>
                <w:szCs w:val="17"/>
              </w:rPr>
              <w:t xml:space="preserve">  28 July 2026</w:t>
            </w:r>
          </w:p>
        </w:tc>
        <w:tc>
          <w:tcPr>
            <w:tcW w:type="dxa" w:w="35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Supervisor:</w:t>
            </w:r>
            <w:r>
              <w:rPr>
                <w:rFonts w:ascii="Calibri" w:cs="Calibri" w:eastAsia="Calibri" w:hAnsi="Calibri"/>
                <w:color w:val="1A3A3D"/>
                <w:sz w:val="17"/>
                <w:szCs w:val="17"/>
              </w:rPr>
              <w:t xml:space="preserve">  Prof. Dr. Berkling</w:t>
            </w:r>
          </w:p>
        </w:tc>
        <w:tc>
          <w:tcPr>
            <w:tcW w:type="dxa" w:w="19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
            </w:r>
            <w:r>
              <w:rPr>
                <w:rFonts w:ascii="Calibri" w:cs="Calibri" w:eastAsia="Calibri" w:hAnsi="Calibri"/>
                <w:color w:val="1A3A3D"/>
                <w:sz w:val="17"/>
                <w:szCs w:val="17"/>
              </w:rPr>
              <w:t xml:space="preserve">  </w:t>
            </w:r>
          </w:p>
        </w:tc>
        <w:tc>
          <w:tcPr>
            <w:tcW w:type="dxa" w:w="3500"/>
            <w:tcMar>
              <w:top w:type="dxa" w:w="30"/>
              <w:left w:type="dxa" w:w="50"/>
              <w:bottom w:type="dxa" w:w="30"/>
              <w:right w:type="dxa" w:w="50"/>
            </w:tcMar>
          </w:tcPr>
          <w:p>
            <w:pPr>
              <w:spacing w:after="0" w:before="0"/>
            </w:pPr>
            <w:r>
              <w:rPr>
                <w:rFonts w:ascii="Calibri" w:cs="Calibri" w:eastAsia="Calibri" w:hAnsi="Calibri"/>
                <w:b/>
                <w:bCs/>
                <w:color w:val="000000"/>
                <w:sz w:val="17"/>
                <w:szCs w:val="17"/>
              </w:rPr>
              <w:t xml:space="preserve"/>
            </w:r>
            <w:r>
              <w:rPr>
                <w:rFonts w:ascii="Calibri" w:cs="Calibri" w:eastAsia="Calibri" w:hAnsi="Calibri"/>
                <w:color w:val="1A3A3D"/>
                <w:sz w:val="17"/>
                <w:szCs w:val="17"/>
              </w:rPr>
              <w:t xml:space="preserve">  </w:t>
            </w:r>
          </w:p>
        </w:tc>
      </w:tr>
    </w:tbl>
    <w:p>
      <w:pPr>
        <w:spacing w:after="40" w:before="100"/>
      </w:pPr>
      <w:r>
        <w:rPr>
          <w:rFonts w:ascii="Calibri" w:cs="Calibri" w:eastAsia="Calibri" w:hAnsi="Calibri"/>
          <w:b/>
          <w:bCs/>
          <w:color w:val="2F5D62"/>
          <w:sz w:val="20"/>
          <w:szCs w:val="20"/>
        </w:rPr>
        <w:t xml:space="preserve">2  Two-Column Role Disclosure</w:t>
      </w:r>
    </w:p>
    <w:tbl>
      <w:tblPr>
        <w:tblW w:type="dxa" w:w="10800"/>
        <w:tblBorders>
          <w:top w:val="single" w:color="CCDFDE" w:sz="4"/>
          <w:left w:val="single" w:color="CCDFDE" w:sz="4"/>
          <w:bottom w:val="single" w:color="CCDFDE" w:sz="4"/>
          <w:right w:val="single" w:color="CCDFDE" w:sz="4"/>
          <w:insideH w:val="single" w:color="CCDFDE" w:sz="4"/>
          <w:insideV w:val="single" w:color="CCDFDE" w:sz="4"/>
        </w:tblBorders>
      </w:tblPr>
      <w:tblGrid>
        <w:gridCol w:w="1600"/>
        <w:gridCol w:w="4600"/>
        <w:gridCol w:w="4600"/>
      </w:tblGrid>
      <w:tr>
        <w:tc>
          <w:tcPr>
            <w:tcW w:type="dxa" w:w="16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Section of work</w:t>
            </w:r>
          </w:p>
        </w:tc>
        <w:tc>
          <w:tcPr>
            <w:tcW w:type="dxa" w:w="46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AI Roles Used (number + brief note)</w:t>
            </w:r>
          </w:p>
        </w:tc>
        <w:tc>
          <w:tcPr>
            <w:tcW w:type="dxa" w:w="46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Human Roles Exercised (number + brief note)</w:t>
            </w:r>
          </w:p>
        </w:tc>
      </w:tr>
      <w:tr>
        <w:tc>
          <w:tcPr>
            <w:tcW w:type="dxa" w:w="1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6"/>
                <w:szCs w:val="16"/>
              </w:rPr>
              <w:t xml:space="preserve">Literature Review</w:t>
            </w:r>
          </w:p>
        </w:tc>
        <w:tc>
          <w:tcPr>
            <w:tcW w:type="dxa" w:w="4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4 — synthesised IoT power management papers; 1 — challenged my gap framing</w:t>
            </w:r>
          </w:p>
        </w:tc>
        <w:tc>
          <w:tcPr>
            <w:tcW w:type="dxa" w:w="4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2 — chose which subfields to include; 4 — verified all claims against sources</w:t>
            </w:r>
          </w:p>
        </w:tc>
      </w:tr>
      <w:tr>
        <w:tc>
          <w:tcPr>
            <w:tcW w:type="dxa" w:w="1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6"/>
                <w:szCs w:val="16"/>
              </w:rPr>
              <w:t xml:space="preserve">Design &amp; Implementation</w:t>
            </w:r>
          </w:p>
        </w:tc>
        <w:tc>
          <w:tcPr>
            <w:tcW w:type="dxa" w:w="4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6 — stress-tested my constraint list; 8 — generated &amp; debugged C++ sensor driver</w:t>
            </w:r>
          </w:p>
        </w:tc>
        <w:tc>
          <w:tcPr>
            <w:tcW w:type="dxa" w:w="4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3 — all architecture choices mine after weighing 3 alternatives; 4 — verified code on hardware before accepting; 7 — insights from placement at Bosch</w:t>
            </w:r>
          </w:p>
        </w:tc>
      </w:tr>
      <w:tr>
        <w:tc>
          <w:tcPr>
            <w:tcW w:type="dxa" w:w="1600"/>
            <w:shd w:fill="F5FAFA" w:color="auto" w:val="clear"/>
            <w:tcMar>
              <w:top w:type="dxa" w:w="30"/>
              <w:left w:type="dxa" w:w="50"/>
              <w:bottom w:type="dxa" w:w="30"/>
              <w:right w:type="dxa" w:w="50"/>
            </w:tcMar>
          </w:tcPr>
          <w:p>
            <w:r>
              <w:rPr>
                <w:rFonts w:ascii="Calibri" w:cs="Calibri" w:eastAsia="Calibri" w:hAnsi="Calibri"/>
                <w:i/>
                <w:iCs/>
                <w:color w:val="555555"/>
                <w:sz w:val="15"/>
                <w:szCs w:val="15"/>
              </w:rPr>
              <w:t xml:space="preserve">Topology used:</w:t>
            </w:r>
          </w:p>
        </w:tc>
        <w:tc>
          <w:tcPr>
            <w:tcW w:type="dxa" w:w="9200"/>
            <w:gridSpan w:val="2"/>
            <w:shd w:fill="F5FAFA" w:color="auto" w:val="clear"/>
            <w:tcMar>
              <w:top w:type="dxa" w:w="30"/>
              <w:left w:type="dxa" w:w="50"/>
              <w:bottom w:type="dxa" w:w="30"/>
              <w:right w:type="dxa" w:w="50"/>
            </w:tcMar>
          </w:tcPr>
          <w:p>
            <w:r>
              <w:rPr>
                <w:rFonts w:ascii="Calibri" w:cs="Calibri" w:eastAsia="Calibri" w:hAnsi="Calibri"/>
                <w:color w:val="1A3A3D"/>
                <w:sz w:val="16"/>
                <w:szCs w:val="16"/>
              </w:rPr>
              <w:t xml:space="preserve">Decision-Dialogue Loop throughout; single-exchange only for the tools table formatting</w:t>
            </w:r>
          </w:p>
        </w:tc>
      </w:tr>
      <w:tr>
        <w:tc>
          <w:tcPr>
            <w:tcW w:type="dxa" w:w="1600"/>
            <w:shd w:fill="F5FAFA" w:color="auto" w:val="clear"/>
            <w:tcMar>
              <w:top w:type="dxa" w:w="30"/>
              <w:left w:type="dxa" w:w="50"/>
              <w:bottom w:type="dxa" w:w="30"/>
              <w:right w:type="dxa" w:w="50"/>
            </w:tcMar>
          </w:tcPr>
          <w:p>
            <w:r>
              <w:rPr>
                <w:rFonts w:ascii="Calibri" w:cs="Calibri" w:eastAsia="Calibri" w:hAnsi="Calibri"/>
                <w:i/>
                <w:iCs/>
                <w:color w:val="555555"/>
                <w:sz w:val="15"/>
                <w:szCs w:val="15"/>
              </w:rPr>
              <w:t xml:space="preserve">Sections with no AI use:</w:t>
            </w:r>
          </w:p>
        </w:tc>
        <w:tc>
          <w:tcPr>
            <w:tcW w:type="dxa" w:w="9200"/>
            <w:gridSpan w:val="2"/>
            <w:shd w:fill="F5FAFA" w:color="auto" w:val="clear"/>
            <w:tcMar>
              <w:top w:type="dxa" w:w="30"/>
              <w:left w:type="dxa" w:w="50"/>
              <w:bottom w:type="dxa" w:w="30"/>
              <w:right w:type="dxa" w:w="50"/>
            </w:tcMar>
          </w:tcPr>
          <w:p>
            <w:r>
              <w:rPr>
                <w:rFonts w:ascii="Calibri" w:cs="Calibri" w:eastAsia="Calibri" w:hAnsi="Calibri"/>
                <w:color w:val="1A3A3D"/>
                <w:sz w:val="16"/>
                <w:szCs w:val="16"/>
              </w:rPr>
              <w:t xml:space="preserve">Critical Reflection (Sec. 6) and Conclusion — must be my own genuine assessment</w:t>
            </w:r>
          </w:p>
        </w:tc>
      </w:tr>
      <w:tr>
        <w:tc>
          <w:tcPr>
            <w:tcW w:type="dxa" w:w="1600"/>
            <w:shd w:fill="F5FAFA" w:color="auto" w:val="clear"/>
            <w:tcMar>
              <w:top w:type="dxa" w:w="30"/>
              <w:left w:type="dxa" w:w="50"/>
              <w:bottom w:type="dxa" w:w="30"/>
              <w:right w:type="dxa" w:w="50"/>
            </w:tcMar>
          </w:tcPr>
          <w:p>
            <w:r>
              <w:rPr>
                <w:rFonts w:ascii="Calibri" w:cs="Calibri" w:eastAsia="Calibri" w:hAnsi="Calibri"/>
                <w:i/>
                <w:iCs/>
                <w:color w:val="555555"/>
                <w:sz w:val="15"/>
                <w:szCs w:val="15"/>
              </w:rPr>
              <w:t xml:space="preserve">AI roles NOT used (3rd disclosure element):</w:t>
            </w:r>
          </w:p>
        </w:tc>
        <w:tc>
          <w:tcPr>
            <w:tcW w:type="dxa" w:w="9200"/>
            <w:gridSpan w:val="2"/>
            <w:shd w:fill="F5FAFA" w:color="auto" w:val="clear"/>
            <w:tcMar>
              <w:top w:type="dxa" w:w="30"/>
              <w:left w:type="dxa" w:w="50"/>
              <w:bottom w:type="dxa" w:w="30"/>
              <w:right w:type="dxa" w:w="50"/>
            </w:tcMar>
          </w:tcPr>
          <w:p>
            <w:r>
              <w:rPr>
                <w:rFonts w:ascii="Calibri" w:cs="Calibri" w:eastAsia="Calibri" w:hAnsi="Calibri"/>
                <w:color w:val="1A3A3D"/>
                <w:sz w:val="16"/>
                <w:szCs w:val="16"/>
              </w:rPr>
              <w:t xml:space="preserve">Role 5 (Pattern Recogniser): no large corpus. Role 9 (Assessor): I graded my own thesis draft against the rubric myself, not the AI — self-assessment is mine to own.</w:t>
            </w:r>
          </w:p>
        </w:tc>
      </w:tr>
    </w:tbl>
    <w:p>
      <w:pPr>
        <w:spacing w:after="40" w:before="100"/>
      </w:pPr>
      <w:r>
        <w:rPr>
          <w:rFonts w:ascii="Calibri" w:cs="Calibri" w:eastAsia="Calibri" w:hAnsi="Calibri"/>
          <w:b/>
          <w:bCs/>
          <w:color w:val="2F5D62"/>
          <w:sz w:val="20"/>
          <w:szCs w:val="20"/>
        </w:rPr>
        <w:t xml:space="preserve">3  AI Tools Used</w:t>
      </w:r>
    </w:p>
    <w:tbl>
      <w:tblPr>
        <w:tblW w:type="dxa" w:w="10800"/>
        <w:tblBorders>
          <w:top w:val="single" w:color="CCDFDE" w:sz="4"/>
          <w:left w:val="single" w:color="CCDFDE" w:sz="4"/>
          <w:bottom w:val="single" w:color="CCDFDE" w:sz="4"/>
          <w:right w:val="single" w:color="CCDFDE" w:sz="4"/>
          <w:insideH w:val="single" w:color="CCDFDE" w:sz="4"/>
          <w:insideV w:val="single" w:color="CCDFDE" w:sz="4"/>
        </w:tblBorders>
      </w:tblPr>
      <w:tblGrid>
        <w:gridCol w:w="2600"/>
        <w:gridCol w:w="2200"/>
        <w:gridCol w:w="6000"/>
      </w:tblGrid>
      <w:tr>
        <w:tc>
          <w:tcPr>
            <w:tcW w:type="dxa" w:w="26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Tool / System</w:t>
            </w:r>
          </w:p>
        </w:tc>
        <w:tc>
          <w:tcPr>
            <w:tcW w:type="dxa" w:w="22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Version / Date</w:t>
            </w:r>
          </w:p>
        </w:tc>
        <w:tc>
          <w:tcPr>
            <w:tcW w:type="dxa" w:w="60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Phases active</w:t>
            </w:r>
          </w:p>
        </w:tc>
      </w:tr>
      <w:tr>
        <w:tc>
          <w:tcPr>
            <w:tcW w:type="dxa" w:w="2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Claude (Anthropic)</w:t>
            </w:r>
          </w:p>
        </w:tc>
        <w:tc>
          <w:tcPr>
            <w:tcW w:type="dxa" w:w="22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claude-sonnet-4-6 / Jul 2026</w:t>
            </w:r>
          </w:p>
        </w:tc>
        <w:tc>
          <w:tcPr>
            <w:tcW w:type="dxa" w:w="60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Literature synthesis, design stress-testing, C++ driver generation, section restructuring</w:t>
            </w:r>
          </w:p>
        </w:tc>
      </w:tr>
      <w:tr>
        <w:tc>
          <w:tcPr>
            <w:tcW w:type="dxa" w:w="26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Grammarly Premium</w:t>
            </w:r>
          </w:p>
        </w:tc>
        <w:tc>
          <w:tcPr>
            <w:tcW w:type="dxa" w:w="22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Jul 2026</w:t>
            </w:r>
          </w:p>
        </w:tc>
        <w:tc>
          <w:tcPr>
            <w:tcW w:type="dxa" w:w="60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Grammar and style check throughout (AI-assisted copy editing only)</w:t>
            </w:r>
          </w:p>
        </w:tc>
      </w:tr>
    </w:tbl>
    <w:p>
      <w:pPr>
        <w:spacing w:after="40" w:before="100"/>
      </w:pPr>
      <w:r>
        <w:rPr>
          <w:rFonts w:ascii="Calibri" w:cs="Calibri" w:eastAsia="Calibri" w:hAnsi="Calibri"/>
          <w:b/>
          <w:bCs/>
          <w:color w:val="2F5D62"/>
          <w:sz w:val="20"/>
          <w:szCs w:val="20"/>
        </w:rPr>
        <w:t xml:space="preserve">Reference: Role Vocabularies</w:t>
      </w:r>
    </w:p>
    <w:tbl>
      <w:tblPr>
        <w:tblW w:type="dxa" w:w="10800"/>
        <w:tblBorders>
          <w:top w:val="none"/>
          <w:left w:val="none"/>
          <w:bottom w:val="none"/>
          <w:right w:val="none"/>
          <w:insideH w:val="none"/>
          <w:insideV w:val="none"/>
        </w:tblBorders>
      </w:tblPr>
      <w:tblGrid>
        <w:gridCol w:w="5300"/>
        <w:gridCol w:w="200"/>
        <w:gridCol w:w="5300"/>
      </w:tblGrid>
      <w:tr>
        <w:tc>
          <w:tcPr>
            <w:tcW w:type="dxa" w:w="5300"/>
          </w:tcPr>
          <w:tbl>
            <w:tblPr>
              <w:tblW w:type="dxa" w:w="5300"/>
              <w:tblBorders>
                <w:top w:val="single" w:color="CCDFDE" w:sz="4"/>
                <w:left w:val="single" w:color="CCDFDE" w:sz="4"/>
                <w:bottom w:val="single" w:color="CCDFDE" w:sz="4"/>
                <w:right w:val="single" w:color="CCDFDE" w:sz="4"/>
                <w:insideH w:val="single" w:color="CCDFDE" w:sz="4"/>
                <w:insideV w:val="single" w:color="CCDFDE" w:sz="4"/>
              </w:tblBorders>
            </w:tblPr>
            <w:tblGrid>
              <w:gridCol w:w="350"/>
              <w:gridCol w:w="1650"/>
              <w:gridCol w:w="3300"/>
            </w:tblGrid>
            <w:tr>
              <w:tc>
                <w:tcPr>
                  <w:tcW w:type="dxa" w:w="35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w:t>
                  </w:r>
                </w:p>
              </w:tc>
              <w:tc>
                <w:tcPr>
                  <w:tcW w:type="dxa" w:w="165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AI Role</w:t>
                  </w:r>
                </w:p>
              </w:tc>
              <w:tc>
                <w:tcPr>
                  <w:tcW w:type="dxa" w:w="33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What the AI does</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1</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Research Interlocutor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Challenges claims, proposes framings, surfaces gaps</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2</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Structural Editor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Proposes and revises document architecture</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3</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Document Builder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Translates decisions into formatted documents at scale</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4</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Literature Synthesiser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Connects sources; synthesises findings</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5</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Pattern Recogniser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Identifies recurring structures across corpora</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6</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Stress Tester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Devil's advocate — surfaces gaps and edge cases</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7</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Writing Collaborator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Drafts prose in the required academic register</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8</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Code-Exec. Engineer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Writes, executes, and debugs production code</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9</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Assessor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Evaluates finished drafts/code against explicit criteria; no new content</w:t>
                  </w:r>
                </w:p>
              </w:tc>
            </w:tr>
          </w:tbl>
          <w:p/>
        </w:tc>
        <w:tc>
          <w:tcPr>
            <w:tcW w:type="dxa" w:w="200"/>
          </w:tcPr>
          <w:p>
            <w:r>
              <w:t xml:space="preserve"/>
            </w:r>
          </w:p>
        </w:tc>
        <w:tc>
          <w:tcPr>
            <w:tcW w:type="dxa" w:w="5300"/>
          </w:tcPr>
          <w:tbl>
            <w:tblPr>
              <w:tblW w:type="dxa" w:w="5300"/>
              <w:tblBorders>
                <w:top w:val="single" w:color="CCDFDE" w:sz="4"/>
                <w:left w:val="single" w:color="CCDFDE" w:sz="4"/>
                <w:bottom w:val="single" w:color="CCDFDE" w:sz="4"/>
                <w:right w:val="single" w:color="CCDFDE" w:sz="4"/>
                <w:insideH w:val="single" w:color="CCDFDE" w:sz="4"/>
                <w:insideV w:val="single" w:color="CCDFDE" w:sz="4"/>
              </w:tblBorders>
            </w:tblPr>
            <w:tblGrid>
              <w:gridCol w:w="350"/>
              <w:gridCol w:w="1650"/>
              <w:gridCol w:w="3300"/>
            </w:tblGrid>
            <w:tr>
              <w:tc>
                <w:tcPr>
                  <w:tcW w:type="dxa" w:w="35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w:t>
                  </w:r>
                </w:p>
              </w:tc>
              <w:tc>
                <w:tcPr>
                  <w:tcW w:type="dxa" w:w="165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Human Role</w:t>
                  </w:r>
                </w:p>
              </w:tc>
              <w:tc>
                <w:tcPr>
                  <w:tcW w:type="dxa" w:w="33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What the student must own</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1</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Problem Framer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Defines the question; identifies the gap and its significance</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2</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Domain Authority</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Supplies tacit disciplinary knowledge the AI cannot access</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3</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Decision Maker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Commits to design paths; accepts or rejects AI proposals</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4</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Evidence Interpreter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Evaluates outputs against domain-specific quality criteria</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5</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Value Arbiter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Sets ethical, professional, and stakeholder commitments</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6</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Synthesis Integrator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Connects problem → literature → design → evaluation</w:t>
                  </w:r>
                </w:p>
              </w:tc>
            </w:tr>
            <w:tr>
              <w:tc>
                <w:tcPr>
                  <w:tcW w:type="dxa" w:w="3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7</w:t>
                  </w:r>
                </w:p>
              </w:tc>
              <w:tc>
                <w:tcPr>
                  <w:tcW w:type="dxa" w:w="165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Experience Bearer</w:t>
                  </w:r>
                </w:p>
              </w:tc>
              <w:tc>
                <w:tcPr>
                  <w:tcW w:type="dxa" w:w="3300"/>
                  <w:shd w:fill="FFFFFF"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Contributes lived knowledge from placement / lab work</w:t>
                  </w:r>
                </w:p>
              </w:tc>
            </w:tr>
            <w:tr>
              <w:tc>
                <w:tcPr>
                  <w:tcW w:type="dxa" w:w="3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8</w:t>
                  </w:r>
                </w:p>
              </w:tc>
              <w:tc>
                <w:tcPr>
                  <w:tcW w:type="dxa" w:w="165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Critical Reflector</w:t>
                  </w:r>
                </w:p>
              </w:tc>
              <w:tc>
                <w:tcPr>
                  <w:tcW w:type="dxa" w:w="33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000000"/>
                      <w:sz w:val="13"/>
                      <w:szCs w:val="13"/>
                    </w:rPr>
                    <w:t xml:space="preserve">Evaluates limitations; articulates what remains unresolved</w:t>
                  </w:r>
                </w:p>
              </w:tc>
            </w:tr>
          </w:tbl>
          <w:p/>
        </w:tc>
      </w:tr>
    </w:tbl>
    <w:p>
      <w:r>
        <w:br w:type="page"/>
      </w:r>
    </w:p>
    <w:p>
      <w:pPr>
        <w:spacing w:after="40" w:before="100"/>
      </w:pPr>
      <w:r>
        <w:rPr>
          <w:rFonts w:ascii="Calibri" w:cs="Calibri" w:eastAsia="Calibri" w:hAnsi="Calibri"/>
          <w:b/>
          <w:bCs/>
          <w:color w:val="2F5D62"/>
          <w:sz w:val="20"/>
          <w:szCs w:val="20"/>
        </w:rPr>
        <w:t xml:space="preserve">5  Justifying the Collaboration</w:t>
      </w:r>
    </w:p>
    <w:tbl>
      <w:tblPr>
        <w:tblW w:type="dxa" w:w="10800"/>
        <w:tblBorders>
          <w:top w:val="single" w:color="CCDFDE" w:sz="4"/>
          <w:left w:val="single" w:color="CCDFDE" w:sz="4"/>
          <w:bottom w:val="single" w:color="CCDFDE" w:sz="4"/>
          <w:right w:val="single" w:color="CCDFDE" w:sz="4"/>
          <w:insideH w:val="single" w:color="CCDFDE" w:sz="4"/>
          <w:insideV w:val="single" w:color="CCDFDE" w:sz="4"/>
        </w:tblBorders>
      </w:tblPr>
      <w:tblGrid>
        <w:gridCol w:w="2200"/>
        <w:gridCol w:w="8600"/>
      </w:tblGrid>
      <w:tr>
        <w:tc>
          <w:tcPr>
            <w:tcW w:type="dxa" w:w="22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Claim A — Capacity</w:t>
            </w:r>
          </w:p>
        </w:tc>
        <w:tc>
          <w:tcPr>
            <w:tcW w:type="dxa" w:w="86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The AI held more of the situation, at once and without decay, than I could hold unaided.</w:t>
            </w:r>
          </w:p>
        </w:tc>
      </w:tr>
      <w:tr>
        <w:tc>
          <w:tcPr>
            <w:tcW w:type="dxa" w:w="10800"/>
            <w:gridSpan w:val="2"/>
            <w:shd w:fill="F5FAFA" w:color="auto" w:val="clear"/>
            <w:tcMar>
              <w:top w:type="dxa" w:w="60"/>
              <w:left w:type="dxa" w:w="80"/>
              <w:bottom w:type="dxa" w:w="60"/>
              <w:right w:type="dxa" w:w="80"/>
            </w:tcMar>
          </w:tcPr>
          <w:p>
            <w:pPr>
              <w:spacing w:after="0" w:before="0"/>
            </w:pPr>
            <w:r>
              <w:rPr>
                <w:rFonts w:ascii="Calibri" w:cs="Calibri" w:eastAsia="Calibri" w:hAnsi="Calibri"/>
                <w:sz w:val="16"/>
                <w:szCs w:val="16"/>
              </w:rPr>
              <w:t xml:space="preserve">This is the claim expected at bachelor level, and the only claim this form requires you to justify. It means: across a section of your work, the AI kept track of things — prior decisions, cross-references, constraints from an earlier chapter, a literature thread — that you would otherwise have had to hold in working memory, and that working memory decays. The claim is falsifiable: you must be able to point to a specific place in your artefact where this happened, and show what the AI held there that you would plausibly have lost track of or re-derived more slowly alone. This is not a claim that the AI thought better than you. It is a claim that it forgot less.</w:t>
            </w:r>
          </w:p>
        </w:tc>
      </w:tr>
    </w:tbl>
    <w:p>
      <w:pPr>
        <w:spacing w:after="30" w:before="60"/>
      </w:pPr>
      <w:r>
        <w:rPr>
          <w:rFonts w:ascii="Calibri" w:cs="Calibri" w:eastAsia="Calibri" w:hAnsi="Calibri"/>
          <w:b/>
          <w:bCs/>
          <w:color w:val="2F5D62"/>
          <w:sz w:val="16"/>
          <w:szCs w:val="16"/>
        </w:rPr>
        <w:t xml:space="preserve">Section of work / AI held (be specific) / Where it shows:</w:t>
      </w:r>
    </w:p>
    <w:tbl>
      <w:tblPr>
        <w:tblW w:type="dxa" w:w="10800"/>
        <w:tblBorders>
          <w:top w:val="single" w:color="CCDFDE" w:sz="4"/>
          <w:left w:val="single" w:color="CCDFDE" w:sz="4"/>
          <w:bottom w:val="single" w:color="CCDFDE" w:sz="4"/>
          <w:right w:val="single" w:color="CCDFDE" w:sz="4"/>
          <w:insideH w:val="single" w:color="CCDFDE" w:sz="4"/>
          <w:insideV w:val="single" w:color="CCDFDE" w:sz="4"/>
        </w:tblBorders>
      </w:tblPr>
      <w:tblGrid>
        <w:gridCol w:w="2400"/>
        <w:gridCol w:w="4700"/>
        <w:gridCol w:w="3700"/>
      </w:tblGrid>
      <w:tr>
        <w:tc>
          <w:tcPr>
            <w:tcW w:type="dxa" w:w="24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Section of work</w:t>
            </w:r>
          </w:p>
        </w:tc>
        <w:tc>
          <w:tcPr>
            <w:tcW w:type="dxa" w:w="47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What the AI held that I could not hold unaided</w:t>
            </w:r>
          </w:p>
        </w:tc>
        <w:tc>
          <w:tcPr>
            <w:tcW w:type="dxa" w:w="3700"/>
            <w:shd w:fill="2F5D62" w:color="auto" w:val="clear"/>
            <w:tcMar>
              <w:top w:type="dxa" w:w="30"/>
              <w:left w:type="dxa" w:w="50"/>
              <w:bottom w:type="dxa" w:w="30"/>
              <w:right w:type="dxa" w:w="50"/>
            </w:tcMar>
            <w:vAlign w:val="top"/>
          </w:tcPr>
          <w:p>
            <w:pPr>
              <w:spacing w:after="0" w:before="0"/>
              <w:jc w:val="left"/>
            </w:pPr>
            <w:r>
              <w:rPr>
                <w:rFonts w:ascii="Calibri" w:cs="Calibri" w:eastAsia="Calibri" w:hAnsi="Calibri"/>
                <w:b/>
                <w:bCs/>
                <w:i w:val="false"/>
                <w:iCs w:val="false"/>
                <w:color w:val="FFFFFF"/>
                <w:sz w:val="17"/>
                <w:szCs w:val="17"/>
              </w:rPr>
              <w:t xml:space="preserve">Where this shows in the artefact</w:t>
            </w:r>
          </w:p>
        </w:tc>
      </w:tr>
      <w:tr>
        <w:tc>
          <w:tcPr>
            <w:tcW w:type="dxa" w:w="24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Design &amp; Implementation</w:t>
            </w:r>
          </w:p>
        </w:tc>
        <w:tc>
          <w:tcPr>
            <w:tcW w:type="dxa" w:w="47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It kept the full set of Ch.3 constraints (battery budget, IP-rating, 3 supplier part numbers) active across 40+ pages of Ch.4–5, and flagged when a Ch.5 design choice would have silently violated a Ch.3 constraint I had made 6 weeks earlier.</w:t>
            </w:r>
          </w:p>
        </w:tc>
        <w:tc>
          <w:tcPr>
            <w:tcW w:type="dxa" w:w="37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Sec. 5.2, footnote 14 — records the exact constraint conflict it caught (duty-cycle vs. IP67 connector rating) that I had forgotten by the time I wrote that section.</w:t>
            </w:r>
          </w:p>
        </w:tc>
      </w:tr>
      <w:tr>
        <w:tc>
          <w:tcPr>
            <w:tcW w:type="dxa" w:w="24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Literature Review</w:t>
            </w:r>
          </w:p>
        </w:tc>
        <w:tc>
          <w:tcPr>
            <w:tcW w:type="dxa" w:w="47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It held all 40+ IoT power-management papers simultaneously and could show me contradictions between papers I had read weeks apart — I could not have re-read all 40 to check this myself before the deadline.</w:t>
            </w:r>
          </w:p>
        </w:tc>
        <w:tc>
          <w:tcPr>
            <w:tcW w:type="dxa" w:w="3700"/>
            <w:shd w:fill="F5FAFA" w:color="auto" w:val="clear"/>
            <w:tcMar>
              <w:top w:type="dxa" w:w="30"/>
              <w:left w:type="dxa" w:w="50"/>
              <w:bottom w:type="dxa" w:w="30"/>
              <w:right w:type="dxa" w:w="50"/>
            </w:tcMar>
            <w:vAlign w:val="top"/>
          </w:tcPr>
          <w:p>
            <w:pPr>
              <w:spacing w:after="0" w:before="0"/>
              <w:jc w:val="left"/>
            </w:pPr>
            <w:r>
              <w:rPr>
                <w:rFonts w:ascii="Calibri" w:cs="Calibri" w:eastAsia="Calibri" w:hAnsi="Calibri"/>
                <w:b w:val="false"/>
                <w:bCs w:val="false"/>
                <w:i w:val="false"/>
                <w:iCs w:val="false"/>
                <w:color w:val="1A3A3D"/>
                <w:sz w:val="16"/>
                <w:szCs w:val="16"/>
              </w:rPr>
              <w:t xml:space="preserve">Sec. 2.3, para. 4 — the sentence naming the Yilmaz/Roth contradiction only exists because it was flagged, not because I noticed it.</w:t>
            </w:r>
          </w:p>
        </w:tc>
      </w:tr>
    </w:tbl>
    <w:p>
      <w:pPr>
        <w:spacing w:after="0" w:before="100"/>
      </w:pPr>
      <w:r>
        <w:rPr>
          <w:rFonts w:ascii="Calibri" w:cs="Calibri" w:eastAsia="Calibri" w:hAnsi="Calibri"/>
          <w:b/>
          <w:bCs/>
          <w:color w:val="555555"/>
          <w:sz w:val="15"/>
          <w:szCs w:val="15"/>
        </w:rPr>
        <w:t xml:space="preserve">A note on a further claim (Claim B — Genesis), not expected at this level: </w:t>
      </w:r>
      <w:r>
        <w:rPr>
          <w:rFonts w:ascii="Calibri" w:cs="Calibri" w:eastAsia="Calibri" w:hAnsi="Calibri"/>
          <w:color w:val="555555"/>
          <w:sz w:val="15"/>
          <w:szCs w:val="15"/>
        </w:rPr>
        <w:t xml:space="preserve">Some collaborations produce an insight that existed in neither the author nor the AI before the exchange — not one party’s idea carried by the other, but something assembled at the meeting point of both, that neither would have reached alone. This is a much stronger and much rarer claim than Claim A, and it is easy to assert and hard to earn: most work that feels like Claim B is Claim A in disguise — the AI held your situation well enough to ask the question that let you produce the insight, which is still your insight (Claim A). Genuine Claim B is not expected, and not required, at bachelor level. It is mentioned here so you know what it looks like and what you might strive for at a later stage of research: a doctoral thesis, a monograph, a sustained research programme — the kind of work where the collaboration itself becomes the reason the work exists at all, not merely the reason it was easier to produce. If you believe some part of your work reaches this level, discuss it with your supervisor before claiming it in writing.</w:t>
      </w:r>
    </w:p>
    <w:p>
      <w:pPr>
        <w:spacing w:after="40" w:before="100"/>
      </w:pPr>
      <w:r>
        <w:rPr>
          <w:rFonts w:ascii="Calibri" w:cs="Calibri" w:eastAsia="Calibri" w:hAnsi="Calibri"/>
          <w:b/>
          <w:bCs/>
          <w:color w:val="2F5D62"/>
          <w:sz w:val="20"/>
          <w:szCs w:val="20"/>
        </w:rPr>
        <w:t xml:space="preserve">6  Declaration</w:t>
      </w:r>
    </w:p>
    <w:p>
      <w:pPr>
        <w:spacing w:after="60" w:before="0"/>
      </w:pPr>
      <w:r>
        <w:rPr>
          <w:rFonts w:ascii="Calibri" w:cs="Calibri" w:eastAsia="Calibri" w:hAnsi="Calibri"/>
          <w:sz w:val="17"/>
          <w:szCs w:val="17"/>
        </w:rPr>
        <w:t xml:space="preserve">I confirm: (a) all intellectual decisions — problem framing, design choices, evaluation, and critical reflection — are my own; (b) all AI content has been reviewed and accepted or rejected by me, and I take full responsibility for the submitted work; (c) this disclosure accurately describes the tools used and the division of labour; (d) a disclosure naming AI roles but no human roles indicates a failure of authorial control; (e) the capacity claims in Section 5 are specific and falsifiable, not asserted in general terms.</w:t>
      </w:r>
    </w:p>
    <w:p>
      <w:pPr>
        <w:tabs>
          <w:tab w:val="right" w:pos="9360"/>
        </w:tabs>
        <w:spacing w:after="40" w:before="40"/>
      </w:pPr>
      <w:r>
        <w:rPr>
          <w:rFonts w:ascii="Calibri" w:cs="Calibri" w:eastAsia="Calibri" w:hAnsi="Calibri"/>
          <w:b/>
          <w:bCs/>
          <w:sz w:val="17"/>
          <w:szCs w:val="17"/>
        </w:rPr>
        <w:t xml:space="preserve">Signature: </w:t>
      </w:r>
      <w:r>
        <w:rPr>
          <w:rFonts w:ascii="Calibri" w:cs="Calibri" w:eastAsia="Calibri" w:hAnsi="Calibri"/>
          <w:color w:val="1A3A3D"/>
          <w:sz w:val="17"/>
          <w:szCs w:val="17"/>
        </w:rPr>
        <w:t xml:space="preserve">Jonas Müller (signed)</w:t>
      </w:r>
      <w:r>
        <w:t xml:space="preserve">	</w:t>
      </w:r>
      <w:r>
        <w:rPr>
          <w:rFonts w:ascii="Calibri" w:cs="Calibri" w:eastAsia="Calibri" w:hAnsi="Calibri"/>
          <w:b/>
          <w:bCs/>
          <w:sz w:val="17"/>
          <w:szCs w:val="17"/>
        </w:rPr>
        <w:t xml:space="preserve">Date: </w:t>
      </w:r>
      <w:r>
        <w:rPr>
          <w:rFonts w:ascii="Calibri" w:cs="Calibri" w:eastAsia="Calibri" w:hAnsi="Calibri"/>
          <w:color w:val="1A3A3D"/>
          <w:sz w:val="17"/>
          <w:szCs w:val="17"/>
        </w:rPr>
        <w:t xml:space="preserve">28 July 2026</w:t>
      </w:r>
    </w:p>
    <w:p>
      <w:pPr>
        <w:spacing w:after="0" w:before="20"/>
      </w:pPr>
      <w:r>
        <w:rPr>
          <w:rFonts w:ascii="Calibri" w:cs="Calibri" w:eastAsia="Calibri" w:hAnsi="Calibri"/>
          <w:color w:val="555555"/>
          <w:sz w:val="15"/>
          <w:szCs w:val="15"/>
        </w:rPr>
        <w:t xml:space="preserve">AI Maturity (circle): </w:t>
      </w:r>
      <w:r>
        <w:rPr>
          <w:rFonts w:ascii="Calibri" w:cs="Calibri" w:eastAsia="Calibri" w:hAnsi="Calibri"/>
          <w:b/>
          <w:bCs/>
          <w:color w:val="555555"/>
          <w:sz w:val="15"/>
          <w:szCs w:val="15"/>
        </w:rPr>
        <w:t xml:space="preserve">1 – Dependent   2 – Assisted   </w:t>
      </w:r>
      <w:r>
        <w:rPr>
          <w:rFonts w:ascii="Calibri" w:cs="Calibri" w:eastAsia="Calibri" w:hAnsi="Calibri"/>
          <w:b/>
          <w:bCs/>
          <w:color w:val="555555"/>
          <w:sz w:val="15"/>
          <w:szCs w:val="15"/>
          <w:u w:val="single"/>
        </w:rPr>
        <w:t xml:space="preserve">3 – Strategic</w:t>
      </w:r>
      <w:r>
        <w:rPr>
          <w:rFonts w:ascii="Calibri" w:cs="Calibri" w:eastAsia="Calibri" w:hAnsi="Calibri"/>
          <w:b/>
          <w:bCs/>
          <w:color w:val="555555"/>
          <w:sz w:val="15"/>
          <w:szCs w:val="15"/>
        </w:rPr>
        <w:t xml:space="preserve">   4 – Expert/Ethical</w:t>
      </w:r>
      <w:r>
        <w:rPr>
          <w:rFonts w:ascii="Calibri" w:cs="Calibri" w:eastAsia="Calibri" w:hAnsi="Calibri"/>
          <w:i/>
          <w:iCs/>
          <w:color w:val="555555"/>
          <w:sz w:val="15"/>
          <w:szCs w:val="15"/>
        </w:rPr>
        <w:t xml:space="preserve">      Update your workbook after submission.</w:t>
      </w:r>
    </w:p>
    <w:p>
      <w:pPr>
        <w:pBdr>
          <w:top w:val="single" w:color="CCDFDE" w:sz="4" w:space="4"/>
        </w:pBdr>
        <w:spacing w:after="0" w:before="100"/>
      </w:pPr>
      <w:r>
        <w:rPr>
          <w:rFonts w:ascii="Calibri" w:cs="Calibri" w:eastAsia="Calibri" w:hAnsi="Calibri"/>
          <w:color w:val="AAAAAA"/>
          <w:sz w:val="13"/>
          <w:szCs w:val="13"/>
        </w:rPr>
        <w:t xml:space="preserve">Decision-Dialogue Loop · AI Disclosure · DHBW   [SAMPLE — filled-in example]</w:t>
      </w:r>
    </w:p>
    <w:sectPr>
      <w:pgSz w:w="16838" w:h="11906" w:orient="portrait"/>
      <w:pgMar w:top="300" w:right="500" w:bottom="300" w:left="5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2026-08-04T19:15:55.309Z</dcterms:created>
  <dcterms:modified xsi:type="dcterms:W3CDTF">2026-08-04T19:15:55.322Z</dcterms:modified>
</cp:coreProperties>
</file>

<file path=docProps/custom.xml><?xml version="1.0" encoding="utf-8"?>
<Properties xmlns="http://schemas.openxmlformats.org/officeDocument/2006/custom-properties" xmlns:vt="http://schemas.openxmlformats.org/officeDocument/2006/docPropsVTypes"/>
</file>